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53" w:rsidRDefault="00150853" w:rsidP="00150853">
      <w:pPr>
        <w:spacing w:line="360" w:lineRule="auto"/>
        <w:jc w:val="right"/>
        <w:rPr>
          <w:rFonts w:ascii="Times New Roman" w:hAnsi="Times New Roman" w:cs="Times New Roman"/>
          <w:b/>
          <w:i/>
          <w:sz w:val="72"/>
          <w:szCs w:val="72"/>
          <w:lang w:val="en-US"/>
        </w:rPr>
      </w:pPr>
      <w:r>
        <w:rPr>
          <w:rFonts w:ascii="Times New Roman" w:hAnsi="Times New Roman" w:cs="Times New Roman"/>
          <w:b/>
          <w:i/>
          <w:sz w:val="72"/>
          <w:szCs w:val="72"/>
          <w:lang w:val="en-US"/>
        </w:rPr>
        <w:t>…WOW,  full !</w:t>
      </w:r>
    </w:p>
    <w:p w:rsidR="001806AD" w:rsidRPr="0019259E" w:rsidRDefault="0019259E"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Visions of Sustainability</w:t>
      </w:r>
    </w:p>
    <w:p w:rsidR="0019259E" w:rsidRPr="0019259E" w:rsidRDefault="0019259E" w:rsidP="001806AD">
      <w:pPr>
        <w:spacing w:after="0" w:line="240" w:lineRule="auto"/>
        <w:jc w:val="right"/>
        <w:rPr>
          <w:rFonts w:ascii="Times New Roman" w:hAnsi="Times New Roman" w:cs="Times New Roman"/>
          <w:b/>
          <w:sz w:val="44"/>
          <w:szCs w:val="44"/>
          <w:lang w:val="en-US"/>
        </w:rPr>
      </w:pPr>
    </w:p>
    <w:p w:rsidR="001806AD" w:rsidRPr="0019259E" w:rsidRDefault="001806AD"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Digester  to  SDG 6.1</w:t>
      </w:r>
    </w:p>
    <w:p w:rsidR="001806AD" w:rsidRPr="0019259E" w:rsidRDefault="001806AD" w:rsidP="001806AD">
      <w:pPr>
        <w:spacing w:after="0" w:line="240" w:lineRule="auto"/>
        <w:jc w:val="right"/>
        <w:rPr>
          <w:rFonts w:ascii="Times New Roman" w:hAnsi="Times New Roman" w:cs="Times New Roman"/>
          <w:b/>
          <w:sz w:val="44"/>
          <w:szCs w:val="44"/>
          <w:lang w:val="en-US"/>
        </w:rPr>
      </w:pPr>
    </w:p>
    <w:p w:rsidR="001806AD" w:rsidRPr="0019259E" w:rsidRDefault="001806AD"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 xml:space="preserve">SDG 6.1 what get by MBGC ? </w:t>
      </w:r>
    </w:p>
    <w:p w:rsidR="001806AD" w:rsidRPr="0019259E" w:rsidRDefault="001806AD" w:rsidP="001806AD">
      <w:pPr>
        <w:spacing w:after="0" w:line="240" w:lineRule="auto"/>
        <w:jc w:val="right"/>
        <w:rPr>
          <w:rFonts w:ascii="Times New Roman" w:hAnsi="Times New Roman" w:cs="Times New Roman"/>
          <w:b/>
          <w:sz w:val="44"/>
          <w:szCs w:val="44"/>
          <w:lang w:val="en-US"/>
        </w:rPr>
      </w:pPr>
      <w:r w:rsidRPr="0019259E">
        <w:rPr>
          <w:rFonts w:ascii="Times New Roman" w:hAnsi="Times New Roman" w:cs="Times New Roman"/>
          <w:b/>
          <w:sz w:val="44"/>
          <w:szCs w:val="44"/>
          <w:lang w:val="en-US"/>
        </w:rPr>
        <w:t>(</w:t>
      </w:r>
      <w:r w:rsidR="00E83653" w:rsidRPr="0019259E">
        <w:rPr>
          <w:rFonts w:ascii="Times New Roman" w:hAnsi="Times New Roman" w:cs="Times New Roman"/>
          <w:b/>
          <w:sz w:val="44"/>
          <w:szCs w:val="44"/>
          <w:lang w:val="en-US"/>
        </w:rPr>
        <w:t>Mini Bio Gas</w:t>
      </w:r>
      <w:r w:rsidRPr="0019259E">
        <w:rPr>
          <w:rFonts w:ascii="Times New Roman" w:hAnsi="Times New Roman" w:cs="Times New Roman"/>
          <w:b/>
          <w:sz w:val="44"/>
          <w:szCs w:val="44"/>
          <w:lang w:val="en-US"/>
        </w:rPr>
        <w:t xml:space="preserve"> Continuous)</w:t>
      </w:r>
    </w:p>
    <w:p w:rsidR="001806AD" w:rsidRDefault="001806AD" w:rsidP="001806AD">
      <w:pPr>
        <w:spacing w:after="0" w:line="240" w:lineRule="auto"/>
        <w:jc w:val="both"/>
        <w:rPr>
          <w:rFonts w:ascii="Times New Roman" w:hAnsi="Times New Roman" w:cs="Times New Roman"/>
          <w:b/>
          <w:sz w:val="72"/>
          <w:szCs w:val="72"/>
          <w:lang w:val="en-US"/>
        </w:rPr>
      </w:pPr>
    </w:p>
    <w:p w:rsidR="001806AD" w:rsidRDefault="001806AD" w:rsidP="001806AD">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6.1</w:t>
      </w:r>
    </w:p>
    <w:p w:rsidR="001806AD" w:rsidRDefault="001806AD" w:rsidP="001806AD">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6.1: By 2030, achieve universal and equitable access to safe and affordable drinking water for all).</w:t>
      </w:r>
    </w:p>
    <w:p w:rsidR="00E536DE" w:rsidRDefault="00E536D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7E7997" w:rsidRPr="007E7997" w:rsidRDefault="005F747E">
          <w:pPr>
            <w:pStyle w:val="Sommario2"/>
            <w:tabs>
              <w:tab w:val="right" w:leader="dot" w:pos="5659"/>
            </w:tabs>
            <w:rPr>
              <w:rFonts w:eastAsiaTheme="minorEastAsia"/>
              <w:b/>
              <w:noProof/>
              <w:lang w:eastAsia="it-IT"/>
            </w:rPr>
          </w:pPr>
          <w:r w:rsidRPr="00E40853">
            <w:rPr>
              <w:rFonts w:ascii="Times New Roman" w:hAnsi="Times New Roman" w:cs="Times New Roman"/>
              <w:sz w:val="24"/>
              <w:szCs w:val="24"/>
            </w:rPr>
            <w:fldChar w:fldCharType="begin"/>
          </w:r>
          <w:r w:rsidR="00E94710" w:rsidRPr="00E40853">
            <w:rPr>
              <w:rFonts w:ascii="Times New Roman" w:hAnsi="Times New Roman" w:cs="Times New Roman"/>
              <w:sz w:val="24"/>
              <w:szCs w:val="24"/>
            </w:rPr>
            <w:instrText xml:space="preserve"> TOC \o "1-3" \h \z \u </w:instrText>
          </w:r>
          <w:r w:rsidRPr="00E40853">
            <w:rPr>
              <w:rFonts w:ascii="Times New Roman" w:hAnsi="Times New Roman" w:cs="Times New Roman"/>
              <w:sz w:val="24"/>
              <w:szCs w:val="24"/>
            </w:rPr>
            <w:fldChar w:fldCharType="separate"/>
          </w:r>
          <w:hyperlink w:anchor="_Toc148313035" w:history="1">
            <w:r w:rsidR="007E7997" w:rsidRPr="007E7997">
              <w:rPr>
                <w:rStyle w:val="Collegamentoipertestuale"/>
                <w:b/>
                <w:noProof/>
                <w:lang w:val="en-US"/>
              </w:rPr>
              <w:t>J W T</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_Toc148313035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Pr="007E7997" w:rsidRDefault="005F747E">
          <w:pPr>
            <w:pStyle w:val="Sommario1"/>
            <w:tabs>
              <w:tab w:val="right" w:leader="dot" w:pos="5659"/>
            </w:tabs>
            <w:rPr>
              <w:rFonts w:eastAsiaTheme="minorEastAsia"/>
              <w:b/>
              <w:noProof/>
              <w:lang w:eastAsia="it-IT"/>
            </w:rPr>
          </w:pPr>
          <w:hyperlink w:anchor="_Toc148313036" w:history="1">
            <w:r w:rsidR="007E7997" w:rsidRPr="007E7997">
              <w:rPr>
                <w:rStyle w:val="Collegamentoipertestuale"/>
                <w:b/>
                <w:noProof/>
              </w:rPr>
              <w:t>Bibliography/Conclusion</w:t>
            </w:r>
            <w:r w:rsidR="007E7997" w:rsidRPr="007E7997">
              <w:rPr>
                <w:b/>
                <w:noProof/>
                <w:webHidden/>
              </w:rPr>
              <w:tab/>
            </w:r>
            <w:r w:rsidRPr="007E7997">
              <w:rPr>
                <w:b/>
                <w:noProof/>
                <w:webHidden/>
              </w:rPr>
              <w:fldChar w:fldCharType="begin"/>
            </w:r>
            <w:r w:rsidR="007E7997" w:rsidRPr="007E7997">
              <w:rPr>
                <w:b/>
                <w:noProof/>
                <w:webHidden/>
              </w:rPr>
              <w:instrText xml:space="preserve"> PAGEREF _Toc148313036 \h </w:instrText>
            </w:r>
            <w:r w:rsidRPr="007E7997">
              <w:rPr>
                <w:b/>
                <w:noProof/>
                <w:webHidden/>
              </w:rPr>
            </w:r>
            <w:r w:rsidRPr="007E7997">
              <w:rPr>
                <w:b/>
                <w:noProof/>
                <w:webHidden/>
              </w:rPr>
              <w:fldChar w:fldCharType="separate"/>
            </w:r>
            <w:r w:rsidR="007E7997" w:rsidRPr="007E7997">
              <w:rPr>
                <w:b/>
                <w:noProof/>
                <w:webHidden/>
              </w:rPr>
              <w:t>4</w:t>
            </w:r>
            <w:r w:rsidRPr="007E7997">
              <w:rPr>
                <w:b/>
                <w:noProof/>
                <w:webHidden/>
              </w:rPr>
              <w:fldChar w:fldCharType="end"/>
            </w:r>
          </w:hyperlink>
        </w:p>
        <w:p w:rsidR="007E7997" w:rsidRDefault="005F747E">
          <w:pPr>
            <w:pStyle w:val="Sommario1"/>
            <w:tabs>
              <w:tab w:val="right" w:leader="dot" w:pos="5659"/>
            </w:tabs>
            <w:rPr>
              <w:rFonts w:eastAsiaTheme="minorEastAsia"/>
              <w:noProof/>
              <w:lang w:eastAsia="it-IT"/>
            </w:rPr>
          </w:pPr>
          <w:hyperlink w:anchor="_Toc148313037" w:history="1">
            <w:r w:rsidR="007E7997" w:rsidRPr="00C43563">
              <w:rPr>
                <w:rStyle w:val="Collegamentoipertestuale"/>
                <w:noProof/>
                <w:lang w:val="en-US"/>
              </w:rPr>
              <w:t>Digester from MBGC (source) :</w:t>
            </w:r>
            <w:r w:rsidR="007E7997">
              <w:rPr>
                <w:noProof/>
                <w:webHidden/>
              </w:rPr>
              <w:tab/>
            </w:r>
            <w:r>
              <w:rPr>
                <w:noProof/>
                <w:webHidden/>
              </w:rPr>
              <w:fldChar w:fldCharType="begin"/>
            </w:r>
            <w:r w:rsidR="007E7997">
              <w:rPr>
                <w:noProof/>
                <w:webHidden/>
              </w:rPr>
              <w:instrText xml:space="preserve"> PAGEREF _Toc148313037 \h </w:instrText>
            </w:r>
            <w:r>
              <w:rPr>
                <w:noProof/>
                <w:webHidden/>
              </w:rPr>
            </w:r>
            <w:r>
              <w:rPr>
                <w:noProof/>
                <w:webHidden/>
              </w:rPr>
              <w:fldChar w:fldCharType="separate"/>
            </w:r>
            <w:r w:rsidR="007E7997">
              <w:rPr>
                <w:noProof/>
                <w:webHidden/>
              </w:rPr>
              <w:t>5</w:t>
            </w:r>
            <w:r>
              <w:rPr>
                <w:noProof/>
                <w:webHidden/>
              </w:rPr>
              <w:fldChar w:fldCharType="end"/>
            </w:r>
          </w:hyperlink>
        </w:p>
        <w:p w:rsidR="007E7997" w:rsidRDefault="005F747E">
          <w:pPr>
            <w:pStyle w:val="Sommario1"/>
            <w:tabs>
              <w:tab w:val="right" w:leader="dot" w:pos="5659"/>
            </w:tabs>
            <w:rPr>
              <w:rFonts w:eastAsiaTheme="minorEastAsia"/>
              <w:noProof/>
              <w:lang w:eastAsia="it-IT"/>
            </w:rPr>
          </w:pPr>
          <w:hyperlink w:anchor="_Toc148313038" w:history="1">
            <w:r w:rsidR="007E7997" w:rsidRPr="00C43563">
              <w:rPr>
                <w:rStyle w:val="Collegamentoipertestuale"/>
                <w:noProof/>
              </w:rPr>
              <w:t>Summary – Applications (to SDGs)</w:t>
            </w:r>
            <w:r w:rsidR="007E7997">
              <w:rPr>
                <w:noProof/>
                <w:webHidden/>
              </w:rPr>
              <w:tab/>
            </w:r>
            <w:r>
              <w:rPr>
                <w:noProof/>
                <w:webHidden/>
              </w:rPr>
              <w:fldChar w:fldCharType="begin"/>
            </w:r>
            <w:r w:rsidR="007E7997">
              <w:rPr>
                <w:noProof/>
                <w:webHidden/>
              </w:rPr>
              <w:instrText xml:space="preserve"> PAGEREF _Toc148313038 \h </w:instrText>
            </w:r>
            <w:r>
              <w:rPr>
                <w:noProof/>
                <w:webHidden/>
              </w:rPr>
            </w:r>
            <w:r>
              <w:rPr>
                <w:noProof/>
                <w:webHidden/>
              </w:rPr>
              <w:fldChar w:fldCharType="separate"/>
            </w:r>
            <w:r w:rsidR="007E7997">
              <w:rPr>
                <w:noProof/>
                <w:webHidden/>
              </w:rPr>
              <w:t>7</w:t>
            </w:r>
            <w:r>
              <w:rPr>
                <w:noProof/>
                <w:webHidden/>
              </w:rPr>
              <w:fldChar w:fldCharType="end"/>
            </w:r>
          </w:hyperlink>
        </w:p>
        <w:p w:rsidR="007E7997" w:rsidRDefault="005F747E">
          <w:pPr>
            <w:pStyle w:val="Sommario1"/>
            <w:tabs>
              <w:tab w:val="right" w:leader="dot" w:pos="5659"/>
            </w:tabs>
            <w:rPr>
              <w:rFonts w:eastAsiaTheme="minorEastAsia"/>
              <w:noProof/>
              <w:lang w:eastAsia="it-IT"/>
            </w:rPr>
          </w:pPr>
          <w:hyperlink w:anchor="_Toc148313039" w:history="1">
            <w:r w:rsidR="007E7997" w:rsidRPr="00C43563">
              <w:rPr>
                <w:rStyle w:val="Collegamentoipertestuale"/>
                <w:noProof/>
                <w:lang w:val="en-US"/>
              </w:rPr>
              <w:t>IASR  International Application Status Report</w:t>
            </w:r>
            <w:r w:rsidR="007E7997">
              <w:rPr>
                <w:noProof/>
                <w:webHidden/>
              </w:rPr>
              <w:tab/>
            </w:r>
            <w:r>
              <w:rPr>
                <w:noProof/>
                <w:webHidden/>
              </w:rPr>
              <w:fldChar w:fldCharType="begin"/>
            </w:r>
            <w:r w:rsidR="007E7997">
              <w:rPr>
                <w:noProof/>
                <w:webHidden/>
              </w:rPr>
              <w:instrText xml:space="preserve"> PAGEREF _Toc148313039 \h </w:instrText>
            </w:r>
            <w:r>
              <w:rPr>
                <w:noProof/>
                <w:webHidden/>
              </w:rPr>
            </w:r>
            <w:r>
              <w:rPr>
                <w:noProof/>
                <w:webHidden/>
              </w:rPr>
              <w:fldChar w:fldCharType="separate"/>
            </w:r>
            <w:r w:rsidR="007E7997">
              <w:rPr>
                <w:noProof/>
                <w:webHidden/>
              </w:rPr>
              <w:t>13</w:t>
            </w:r>
            <w:r>
              <w:rPr>
                <w:noProof/>
                <w:webHidden/>
              </w:rPr>
              <w:fldChar w:fldCharType="end"/>
            </w:r>
          </w:hyperlink>
        </w:p>
        <w:p w:rsidR="00D86830" w:rsidRPr="00E40853" w:rsidRDefault="005F747E" w:rsidP="00E40853">
          <w:pPr>
            <w:jc w:val="both"/>
            <w:rPr>
              <w:rFonts w:ascii="Times New Roman" w:hAnsi="Times New Roman" w:cs="Times New Roman"/>
              <w:sz w:val="24"/>
              <w:szCs w:val="24"/>
            </w:rPr>
          </w:pPr>
          <w:r w:rsidRPr="00E40853">
            <w:rPr>
              <w:rFonts w:ascii="Times New Roman" w:hAnsi="Times New Roman" w:cs="Times New Roman"/>
              <w:sz w:val="24"/>
              <w:szCs w:val="24"/>
            </w:rPr>
            <w:fldChar w:fldCharType="end"/>
          </w:r>
        </w:p>
      </w:sdtContent>
    </w:sdt>
    <w:p w:rsidR="005E3357" w:rsidRDefault="005E3357">
      <w:pPr>
        <w:rPr>
          <w:rFonts w:ascii="Times New Roman" w:hAnsi="Times New Roman" w:cs="Times New Roman"/>
          <w:sz w:val="24"/>
          <w:szCs w:val="24"/>
        </w:rPr>
      </w:pPr>
      <w:r>
        <w:rPr>
          <w:rFonts w:ascii="Times New Roman" w:hAnsi="Times New Roman" w:cs="Times New Roman"/>
          <w:sz w:val="24"/>
          <w:szCs w:val="24"/>
        </w:rPr>
        <w:br w:type="page"/>
      </w:r>
    </w:p>
    <w:p w:rsidR="00D86830" w:rsidRPr="00E40853" w:rsidRDefault="00D86830"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173CE6" w:rsidRPr="00E40853" w:rsidRDefault="00173CE6" w:rsidP="00E40853">
      <w:pPr>
        <w:spacing w:line="360" w:lineRule="auto"/>
        <w:jc w:val="both"/>
        <w:rPr>
          <w:rFonts w:ascii="Times New Roman" w:hAnsi="Times New Roman" w:cs="Times New Roman"/>
          <w:sz w:val="24"/>
          <w:szCs w:val="24"/>
        </w:rPr>
      </w:pPr>
    </w:p>
    <w:p w:rsidR="00670B98" w:rsidRPr="00E40853" w:rsidRDefault="00670B98" w:rsidP="00E40853">
      <w:pPr>
        <w:jc w:val="both"/>
        <w:rPr>
          <w:rFonts w:ascii="Times New Roman" w:hAnsi="Times New Roman" w:cs="Times New Roman"/>
          <w:sz w:val="24"/>
          <w:szCs w:val="24"/>
        </w:rPr>
      </w:pPr>
      <w:r w:rsidRPr="00E40853">
        <w:rPr>
          <w:rFonts w:ascii="Times New Roman" w:hAnsi="Times New Roman" w:cs="Times New Roman"/>
          <w:sz w:val="24"/>
          <w:szCs w:val="24"/>
        </w:rPr>
        <w:br w:type="page"/>
      </w:r>
    </w:p>
    <w:p w:rsidR="00670B98" w:rsidRPr="00E40853" w:rsidRDefault="00670B98" w:rsidP="00E40853">
      <w:pPr>
        <w:pStyle w:val="Heading1"/>
        <w:ind w:left="0"/>
        <w:jc w:val="right"/>
        <w:rPr>
          <w:lang w:val="en-US"/>
        </w:rPr>
      </w:pPr>
      <w:bookmarkStart w:id="0" w:name="_Toc148313035"/>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0"/>
    </w:p>
    <w:p w:rsidR="00670B98" w:rsidRPr="00E40853" w:rsidRDefault="005F747E" w:rsidP="00E40853">
      <w:pPr>
        <w:pStyle w:val="Heading3"/>
        <w:ind w:left="0"/>
        <w:jc w:val="right"/>
        <w:rPr>
          <w:b w:val="0"/>
          <w:lang w:val="en-US"/>
        </w:rPr>
      </w:pPr>
      <w:hyperlink r:id="rId7"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8" w:history="1">
        <w:r w:rsidR="00670B98" w:rsidRPr="00E40853">
          <w:rPr>
            <w:rStyle w:val="Enfasigrassetto"/>
            <w:b/>
            <w:iCs w:val="0"/>
            <w:color w:val="0000FF"/>
            <w:u w:val="single"/>
            <w:lang w:val="en-US"/>
          </w:rPr>
          <w:t xml:space="preserve"> </w:t>
        </w:r>
      </w:hyperlink>
      <w:hyperlink r:id="rId9" w:history="1">
        <w:r w:rsidR="00670B98" w:rsidRPr="00E40853">
          <w:rPr>
            <w:rStyle w:val="Enfasigrassetto"/>
            <w:b/>
            <w:iCs w:val="0"/>
            <w:color w:val="0000FF"/>
            <w:u w:val="single"/>
            <w:lang w:val="en-US"/>
          </w:rPr>
          <w:t>water  team</w:t>
        </w:r>
      </w:hyperlink>
    </w:p>
    <w:p w:rsidR="00670B98" w:rsidRPr="00E40853" w:rsidRDefault="005F747E" w:rsidP="00E40853">
      <w:pPr>
        <w:spacing w:before="1"/>
        <w:jc w:val="right"/>
        <w:rPr>
          <w:rFonts w:ascii="Times New Roman" w:hAnsi="Times New Roman" w:cs="Times New Roman"/>
          <w:sz w:val="24"/>
          <w:szCs w:val="24"/>
          <w:lang w:val="en-US"/>
        </w:rPr>
      </w:pPr>
      <w:hyperlink r:id="rId10"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1"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2" w:history="1">
        <w:r w:rsidRPr="00E40853">
          <w:rPr>
            <w:rStyle w:val="Collegamentoipertestuale"/>
            <w:sz w:val="24"/>
            <w:lang w:val="en-US"/>
          </w:rPr>
          <w:t xml:space="preserve">Patents and Projects, with relevant BPs </w:t>
        </w:r>
      </w:hyperlink>
      <w:hyperlink r:id="rId13" w:history="1">
        <w:r w:rsidRPr="00E40853">
          <w:rPr>
            <w:rStyle w:val="Collegamentoipertestuale"/>
            <w:sz w:val="24"/>
            <w:lang w:val="en-US"/>
          </w:rPr>
          <w:t xml:space="preserve">and </w:t>
        </w:r>
      </w:hyperlink>
      <w:hyperlink r:id="rId14" w:history="1">
        <w:r w:rsidRPr="00E40853">
          <w:rPr>
            <w:rStyle w:val="Collegamentoipertestuale"/>
            <w:sz w:val="24"/>
            <w:lang w:val="en-US"/>
          </w:rPr>
          <w:t>StartKit</w:t>
        </w:r>
      </w:hyperlink>
      <w:hyperlink r:id="rId15" w:history="1">
        <w:r w:rsidRPr="00E40853">
          <w:rPr>
            <w:rStyle w:val="Collegamentoipertestuale"/>
            <w:sz w:val="24"/>
            <w:lang w:val="en-US"/>
          </w:rPr>
          <w:t xml:space="preserve"> </w:t>
        </w:r>
      </w:hyperlink>
      <w:hyperlink r:id="rId16"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5F747E" w:rsidP="007E7997">
      <w:pPr>
        <w:pStyle w:val="Corpodeltesto"/>
        <w:spacing w:before="2"/>
        <w:rPr>
          <w:sz w:val="24"/>
          <w:lang w:val="en-US"/>
        </w:rPr>
      </w:pPr>
      <w:hyperlink r:id="rId17"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8" w:history="1">
        <w:r w:rsidRPr="00E40853">
          <w:rPr>
            <w:rStyle w:val="Enfasicorsivo"/>
            <w:b/>
            <w:bCs/>
            <w:color w:val="008000"/>
            <w:sz w:val="24"/>
            <w:u w:val="single"/>
            <w:lang w:val="en-US"/>
          </w:rPr>
          <w:t xml:space="preserve">IP_S </w:t>
        </w:r>
      </w:hyperlink>
      <w:hyperlink r:id="rId19" w:history="1">
        <w:r w:rsidRPr="00E40853">
          <w:rPr>
            <w:rStyle w:val="Enfasicorsivo"/>
            <w:b/>
            <w:bCs/>
            <w:color w:val="008000"/>
            <w:sz w:val="24"/>
            <w:u w:val="single"/>
            <w:lang w:val="en-US"/>
          </w:rPr>
          <w:t xml:space="preserve">DGs </w:t>
        </w:r>
      </w:hyperlink>
      <w:hyperlink r:id="rId20"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1" w:name="_Toc148313036"/>
      <w:r w:rsidRPr="00E536DE">
        <w:rPr>
          <w:rStyle w:val="rynqvb"/>
          <w:szCs w:val="24"/>
          <w:lang w:val="en-US"/>
        </w:rPr>
        <w:t>Bibliography/Conclusion</w:t>
      </w:r>
      <w:bookmarkEnd w:id="1"/>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1"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2"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2" w:name="_Toc148313037"/>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2"/>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5F747E" w:rsidP="00074C21">
      <w:pPr>
        <w:jc w:val="both"/>
        <w:rPr>
          <w:rStyle w:val="tlid-translation"/>
          <w:rFonts w:ascii="Times New Roman" w:hAnsi="Times New Roman" w:cs="Times New Roman"/>
          <w:sz w:val="24"/>
          <w:szCs w:val="24"/>
          <w:lang w:val="en-US"/>
        </w:rPr>
      </w:pPr>
      <w:hyperlink r:id="rId23"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4"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5"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6"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5F747E" w:rsidP="00E40853">
      <w:pPr>
        <w:jc w:val="both"/>
        <w:rPr>
          <w:rFonts w:ascii="Times New Roman" w:hAnsi="Times New Roman" w:cs="Times New Roman"/>
          <w:sz w:val="24"/>
          <w:szCs w:val="24"/>
          <w:lang w:val="en-US"/>
        </w:rPr>
      </w:pPr>
      <w:hyperlink r:id="rId28"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5F747E" w:rsidP="00E40853">
      <w:pPr>
        <w:jc w:val="both"/>
        <w:rPr>
          <w:rFonts w:ascii="Times New Roman" w:hAnsi="Times New Roman" w:cs="Times New Roman"/>
          <w:sz w:val="24"/>
          <w:szCs w:val="24"/>
          <w:lang w:val="en-US"/>
        </w:rPr>
      </w:pPr>
      <w:hyperlink r:id="rId29"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0"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5F747E" w:rsidP="00E40853">
      <w:pPr>
        <w:jc w:val="both"/>
        <w:rPr>
          <w:rStyle w:val="rynqvb"/>
          <w:rFonts w:ascii="Times New Roman" w:hAnsi="Times New Roman" w:cs="Times New Roman"/>
          <w:b/>
          <w:sz w:val="24"/>
          <w:szCs w:val="24"/>
          <w:lang w:val="en-US"/>
        </w:rPr>
      </w:pPr>
      <w:hyperlink r:id="rId31"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5F747E"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3" w:name="_Toc148313038"/>
      <w:r w:rsidRPr="00E536DE">
        <w:rPr>
          <w:lang w:val="en-US"/>
        </w:rPr>
        <w:lastRenderedPageBreak/>
        <w:t>Summary – Applications (to SDGs)</w:t>
      </w:r>
      <w:bookmarkEnd w:id="3"/>
    </w:p>
    <w:p w:rsidR="007D5AA6" w:rsidRPr="00074C21" w:rsidRDefault="007D5AA6" w:rsidP="00074C21">
      <w:pPr>
        <w:pStyle w:val="NormaleWeb"/>
        <w:jc w:val="both"/>
        <w:rPr>
          <w:lang w:val="en-US"/>
        </w:rPr>
      </w:pPr>
    </w:p>
    <w:p w:rsidR="00074C21" w:rsidRDefault="005F747E" w:rsidP="00074C21">
      <w:pPr>
        <w:pStyle w:val="NormaleWeb"/>
        <w:jc w:val="right"/>
        <w:rPr>
          <w:rStyle w:val="Enfasigrassetto"/>
          <w:color w:val="0000FF"/>
          <w:lang w:val="en-US"/>
        </w:rPr>
      </w:pPr>
      <w:hyperlink r:id="rId33"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5F747E" w:rsidP="00074C21">
      <w:pPr>
        <w:pStyle w:val="NormaleWeb"/>
        <w:jc w:val="right"/>
        <w:rPr>
          <w:color w:val="0000FF"/>
          <w:lang w:val="en-US"/>
        </w:rPr>
      </w:pPr>
      <w:hyperlink r:id="rId34"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5F747E" w:rsidP="00074C21">
      <w:pPr>
        <w:pStyle w:val="Corpodeltesto"/>
        <w:tabs>
          <w:tab w:val="left" w:pos="3153"/>
        </w:tabs>
        <w:spacing w:before="2"/>
        <w:jc w:val="right"/>
        <w:rPr>
          <w:b/>
          <w:i/>
          <w:sz w:val="24"/>
          <w:lang w:val="en-US" w:eastAsia="it-IT"/>
        </w:rPr>
      </w:pPr>
      <w:hyperlink r:id="rId35" w:history="1">
        <w:r w:rsidR="005544BF" w:rsidRPr="00074C21">
          <w:rPr>
            <w:rStyle w:val="Collegamentoipertestuale"/>
            <w:b/>
            <w:i/>
            <w:sz w:val="24"/>
            <w:lang w:val="en-US"/>
          </w:rPr>
          <w:t xml:space="preserve">SDGs </w:t>
        </w:r>
      </w:hyperlink>
      <w:hyperlink r:id="rId36" w:history="1">
        <w:r w:rsidR="005544BF" w:rsidRPr="00074C21">
          <w:rPr>
            <w:rStyle w:val="Collegamentoipertestuale"/>
            <w:b/>
            <w:i/>
            <w:sz w:val="24"/>
            <w:lang w:val="en-US"/>
          </w:rPr>
          <w:t xml:space="preserve">/ </w:t>
        </w:r>
      </w:hyperlink>
      <w:hyperlink r:id="rId37" w:history="1"/>
      <w:hyperlink r:id="rId38" w:history="1">
        <w:r w:rsidR="005544BF" w:rsidRPr="00074C21">
          <w:rPr>
            <w:rStyle w:val="Collegamentoipertestuale"/>
            <w:b/>
            <w:i/>
            <w:sz w:val="24"/>
            <w:lang w:val="en-US"/>
          </w:rPr>
          <w:t xml:space="preserve">UN_en </w:t>
        </w:r>
      </w:hyperlink>
      <w:hyperlink r:id="rId39" w:history="1"/>
      <w:r w:rsidR="005544BF" w:rsidRPr="00074C21">
        <w:rPr>
          <w:b/>
          <w:i/>
          <w:sz w:val="24"/>
          <w:lang w:val="en-US"/>
        </w:rPr>
        <w:t xml:space="preserve">- </w:t>
      </w:r>
      <w:hyperlink r:id="rId40" w:history="1">
        <w:r w:rsidR="005544BF" w:rsidRPr="00074C21">
          <w:rPr>
            <w:rStyle w:val="Collegamentoipertestuale"/>
            <w:b/>
            <w:i/>
            <w:sz w:val="24"/>
            <w:lang w:val="en-US"/>
          </w:rPr>
          <w:t xml:space="preserve">SDGs </w:t>
        </w:r>
      </w:hyperlink>
      <w:hyperlink r:id="rId41" w:history="1">
        <w:r w:rsidR="005544BF" w:rsidRPr="00074C21">
          <w:rPr>
            <w:rStyle w:val="Collegamentoipertestuale"/>
            <w:b/>
            <w:i/>
            <w:sz w:val="24"/>
            <w:lang w:val="en-US"/>
          </w:rPr>
          <w:t xml:space="preserve">/ </w:t>
        </w:r>
      </w:hyperlink>
      <w:hyperlink r:id="rId42" w:history="1"/>
      <w:hyperlink r:id="rId43" w:history="1">
        <w:r w:rsidR="005544BF" w:rsidRPr="00074C21">
          <w:rPr>
            <w:rStyle w:val="Collegamentoipertestuale"/>
            <w:b/>
            <w:i/>
            <w:sz w:val="24"/>
            <w:lang w:val="en-US"/>
          </w:rPr>
          <w:t>UN_it</w:t>
        </w:r>
      </w:hyperlink>
      <w:hyperlink r:id="rId44"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5" w:history="1">
        <w:r w:rsidRPr="00074C21">
          <w:rPr>
            <w:rStyle w:val="Collegamentoipertestuale"/>
            <w:b/>
            <w:i/>
            <w:color w:val="00B050"/>
            <w:sz w:val="24"/>
          </w:rPr>
          <w:t>1</w:t>
        </w:r>
      </w:hyperlink>
      <w:r w:rsidRPr="00074C21">
        <w:rPr>
          <w:rStyle w:val="badge"/>
          <w:b/>
          <w:i/>
          <w:color w:val="00B050"/>
          <w:sz w:val="24"/>
        </w:rPr>
        <w:t xml:space="preserve"> </w:t>
      </w:r>
      <w:hyperlink r:id="rId46" w:history="1">
        <w:r w:rsidRPr="00074C21">
          <w:rPr>
            <w:rStyle w:val="Collegamentoipertestuale"/>
            <w:b/>
            <w:i/>
            <w:color w:val="00B050"/>
            <w:sz w:val="24"/>
          </w:rPr>
          <w:t>2</w:t>
        </w:r>
      </w:hyperlink>
      <w:r w:rsidRPr="00074C21">
        <w:rPr>
          <w:rStyle w:val="badge"/>
          <w:b/>
          <w:i/>
          <w:color w:val="00B050"/>
          <w:sz w:val="24"/>
        </w:rPr>
        <w:t xml:space="preserve"> </w:t>
      </w:r>
      <w:hyperlink r:id="rId47" w:history="1">
        <w:r w:rsidRPr="00074C21">
          <w:rPr>
            <w:rStyle w:val="Collegamentoipertestuale"/>
            <w:b/>
            <w:i/>
            <w:color w:val="00B050"/>
            <w:sz w:val="24"/>
          </w:rPr>
          <w:t>3</w:t>
        </w:r>
      </w:hyperlink>
      <w:r w:rsidRPr="00074C21">
        <w:rPr>
          <w:rStyle w:val="badge"/>
          <w:b/>
          <w:i/>
          <w:color w:val="00B050"/>
          <w:sz w:val="24"/>
        </w:rPr>
        <w:t xml:space="preserve"> </w:t>
      </w:r>
      <w:hyperlink r:id="rId48" w:history="1">
        <w:r w:rsidRPr="00074C21">
          <w:rPr>
            <w:rStyle w:val="Collegamentoipertestuale"/>
            <w:b/>
            <w:i/>
            <w:color w:val="00B050"/>
            <w:sz w:val="24"/>
          </w:rPr>
          <w:t>4</w:t>
        </w:r>
      </w:hyperlink>
      <w:r w:rsidRPr="00074C21">
        <w:rPr>
          <w:rStyle w:val="badge"/>
          <w:b/>
          <w:i/>
          <w:color w:val="00B050"/>
          <w:sz w:val="24"/>
        </w:rPr>
        <w:t xml:space="preserve"> </w:t>
      </w:r>
      <w:hyperlink r:id="rId49" w:history="1">
        <w:r w:rsidRPr="00074C21">
          <w:rPr>
            <w:rStyle w:val="Collegamentoipertestuale"/>
            <w:b/>
            <w:i/>
            <w:color w:val="00B050"/>
            <w:sz w:val="24"/>
          </w:rPr>
          <w:t>5</w:t>
        </w:r>
      </w:hyperlink>
      <w:r w:rsidRPr="00074C21">
        <w:rPr>
          <w:rStyle w:val="badge"/>
          <w:b/>
          <w:i/>
          <w:color w:val="00B050"/>
          <w:sz w:val="24"/>
        </w:rPr>
        <w:t xml:space="preserve"> </w:t>
      </w:r>
      <w:hyperlink r:id="rId50" w:history="1">
        <w:r w:rsidRPr="00074C21">
          <w:rPr>
            <w:rStyle w:val="Collegamentoipertestuale"/>
            <w:b/>
            <w:i/>
            <w:color w:val="00B050"/>
            <w:sz w:val="24"/>
          </w:rPr>
          <w:t>6</w:t>
        </w:r>
      </w:hyperlink>
      <w:r w:rsidRPr="00074C21">
        <w:rPr>
          <w:rStyle w:val="badge"/>
          <w:b/>
          <w:i/>
          <w:color w:val="00B050"/>
          <w:sz w:val="24"/>
        </w:rPr>
        <w:t xml:space="preserve"> </w:t>
      </w:r>
      <w:hyperlink r:id="rId51" w:history="1">
        <w:r w:rsidRPr="00074C21">
          <w:rPr>
            <w:rStyle w:val="Collegamentoipertestuale"/>
            <w:b/>
            <w:i/>
            <w:color w:val="00B050"/>
            <w:sz w:val="24"/>
          </w:rPr>
          <w:t>7</w:t>
        </w:r>
      </w:hyperlink>
      <w:r w:rsidRPr="00074C21">
        <w:rPr>
          <w:rStyle w:val="badge"/>
          <w:b/>
          <w:i/>
          <w:color w:val="00B050"/>
          <w:sz w:val="24"/>
        </w:rPr>
        <w:t xml:space="preserve"> </w:t>
      </w:r>
      <w:hyperlink r:id="rId52" w:history="1">
        <w:r w:rsidRPr="00074C21">
          <w:rPr>
            <w:rStyle w:val="Collegamentoipertestuale"/>
            <w:b/>
            <w:i/>
            <w:color w:val="0070C0"/>
            <w:sz w:val="24"/>
          </w:rPr>
          <w:t>8</w:t>
        </w:r>
      </w:hyperlink>
      <w:r w:rsidRPr="00074C21">
        <w:rPr>
          <w:rStyle w:val="badge"/>
          <w:b/>
          <w:i/>
          <w:color w:val="00B050"/>
          <w:sz w:val="24"/>
        </w:rPr>
        <w:t xml:space="preserve"> </w:t>
      </w:r>
      <w:hyperlink r:id="rId53" w:history="1">
        <w:r w:rsidRPr="00074C21">
          <w:rPr>
            <w:rStyle w:val="Collegamentoipertestuale"/>
            <w:b/>
            <w:i/>
            <w:color w:val="00B050"/>
            <w:sz w:val="24"/>
          </w:rPr>
          <w:t>9</w:t>
        </w:r>
      </w:hyperlink>
      <w:r w:rsidRPr="00074C21">
        <w:rPr>
          <w:rStyle w:val="badge"/>
          <w:b/>
          <w:i/>
          <w:color w:val="00B050"/>
          <w:sz w:val="24"/>
        </w:rPr>
        <w:t xml:space="preserve"> </w:t>
      </w:r>
      <w:hyperlink r:id="rId54" w:history="1">
        <w:r w:rsidRPr="00074C21">
          <w:rPr>
            <w:rStyle w:val="Collegamentoipertestuale"/>
            <w:b/>
            <w:i/>
            <w:color w:val="0070C0"/>
            <w:sz w:val="24"/>
          </w:rPr>
          <w:t>10</w:t>
        </w:r>
      </w:hyperlink>
      <w:r w:rsidRPr="00074C21">
        <w:rPr>
          <w:rStyle w:val="badge"/>
          <w:b/>
          <w:i/>
          <w:color w:val="00B050"/>
          <w:sz w:val="24"/>
        </w:rPr>
        <w:t xml:space="preserve"> </w:t>
      </w:r>
      <w:hyperlink r:id="rId55" w:history="1">
        <w:r w:rsidRPr="00074C21">
          <w:rPr>
            <w:rStyle w:val="Collegamentoipertestuale"/>
            <w:b/>
            <w:i/>
            <w:color w:val="00B050"/>
            <w:sz w:val="24"/>
          </w:rPr>
          <w:t>11</w:t>
        </w:r>
      </w:hyperlink>
      <w:r w:rsidRPr="00074C21">
        <w:rPr>
          <w:rStyle w:val="badge"/>
          <w:b/>
          <w:i/>
          <w:color w:val="00B050"/>
          <w:sz w:val="24"/>
        </w:rPr>
        <w:t xml:space="preserve"> </w:t>
      </w:r>
      <w:hyperlink r:id="rId56" w:history="1">
        <w:r w:rsidRPr="00074C21">
          <w:rPr>
            <w:rStyle w:val="Collegamentoipertestuale"/>
            <w:b/>
            <w:i/>
            <w:color w:val="00B050"/>
            <w:sz w:val="24"/>
          </w:rPr>
          <w:t>12</w:t>
        </w:r>
      </w:hyperlink>
      <w:r w:rsidRPr="00074C21">
        <w:rPr>
          <w:rStyle w:val="badge"/>
          <w:b/>
          <w:i/>
          <w:color w:val="00B050"/>
          <w:sz w:val="24"/>
        </w:rPr>
        <w:t xml:space="preserve"> </w:t>
      </w:r>
      <w:hyperlink r:id="rId57" w:history="1">
        <w:r w:rsidRPr="00074C21">
          <w:rPr>
            <w:rStyle w:val="Collegamentoipertestuale"/>
            <w:b/>
            <w:i/>
            <w:color w:val="00B050"/>
            <w:sz w:val="24"/>
          </w:rPr>
          <w:t>13</w:t>
        </w:r>
      </w:hyperlink>
      <w:r w:rsidRPr="00074C21">
        <w:rPr>
          <w:rStyle w:val="badge"/>
          <w:b/>
          <w:i/>
          <w:color w:val="00B050"/>
          <w:sz w:val="24"/>
        </w:rPr>
        <w:t xml:space="preserve"> </w:t>
      </w:r>
      <w:hyperlink r:id="rId58" w:history="1">
        <w:r w:rsidRPr="00074C21">
          <w:rPr>
            <w:rStyle w:val="Collegamentoipertestuale"/>
            <w:b/>
            <w:i/>
            <w:color w:val="00B050"/>
            <w:sz w:val="24"/>
          </w:rPr>
          <w:t>14</w:t>
        </w:r>
      </w:hyperlink>
      <w:r w:rsidRPr="00074C21">
        <w:rPr>
          <w:rStyle w:val="badge"/>
          <w:b/>
          <w:i/>
          <w:color w:val="00B050"/>
          <w:sz w:val="24"/>
        </w:rPr>
        <w:t xml:space="preserve"> </w:t>
      </w:r>
      <w:hyperlink r:id="rId59" w:history="1">
        <w:r w:rsidRPr="00074C21">
          <w:rPr>
            <w:rStyle w:val="Collegamentoipertestuale"/>
            <w:b/>
            <w:i/>
            <w:color w:val="00B050"/>
            <w:sz w:val="24"/>
          </w:rPr>
          <w:t>15</w:t>
        </w:r>
      </w:hyperlink>
      <w:r w:rsidRPr="00074C21">
        <w:rPr>
          <w:rStyle w:val="badge"/>
          <w:b/>
          <w:i/>
          <w:color w:val="00B050"/>
          <w:sz w:val="24"/>
        </w:rPr>
        <w:t xml:space="preserve"> </w:t>
      </w:r>
      <w:hyperlink r:id="rId60" w:history="1">
        <w:r w:rsidRPr="00074C21">
          <w:rPr>
            <w:rStyle w:val="Collegamentoipertestuale"/>
            <w:b/>
            <w:i/>
            <w:color w:val="0070C0"/>
            <w:sz w:val="24"/>
          </w:rPr>
          <w:t>16</w:t>
        </w:r>
      </w:hyperlink>
      <w:r w:rsidRPr="00074C21">
        <w:rPr>
          <w:rStyle w:val="badge"/>
          <w:b/>
          <w:i/>
          <w:color w:val="0070C0"/>
          <w:sz w:val="24"/>
        </w:rPr>
        <w:t xml:space="preserve"> </w:t>
      </w:r>
      <w:hyperlink r:id="rId61" w:history="1">
        <w:r w:rsidRPr="00074C21">
          <w:rPr>
            <w:rStyle w:val="Collegamentoipertestuale"/>
            <w:b/>
            <w:i/>
            <w:color w:val="0070C0"/>
            <w:sz w:val="24"/>
          </w:rPr>
          <w:t>17</w:t>
        </w:r>
      </w:hyperlink>
      <w:r w:rsidRPr="00074C21">
        <w:rPr>
          <w:rStyle w:val="badge"/>
          <w:b/>
          <w:sz w:val="24"/>
        </w:rPr>
        <w:t xml:space="preserve">   </w:t>
      </w:r>
      <w:hyperlink r:id="rId62"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5F747E" w:rsidP="00074C21">
      <w:pPr>
        <w:tabs>
          <w:tab w:val="left" w:pos="1902"/>
        </w:tabs>
        <w:jc w:val="right"/>
        <w:rPr>
          <w:rFonts w:ascii="Times New Roman" w:hAnsi="Times New Roman" w:cs="Times New Roman"/>
          <w:b/>
          <w:sz w:val="24"/>
          <w:szCs w:val="24"/>
        </w:rPr>
      </w:pPr>
      <w:hyperlink r:id="rId63"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4"/>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4" w:name="_Toc148313039"/>
      <w:r w:rsidRPr="00312FFA">
        <w:rPr>
          <w:lang w:val="en-US"/>
        </w:rPr>
        <w:lastRenderedPageBreak/>
        <w:t xml:space="preserve">IASR  </w:t>
      </w:r>
      <w:r w:rsidR="00631909" w:rsidRPr="00312FFA">
        <w:rPr>
          <w:lang w:val="en-US"/>
        </w:rPr>
        <w:t>International Application Status Report</w:t>
      </w:r>
      <w:bookmarkEnd w:id="4"/>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5"/>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6"/>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AF0" w:rsidRDefault="00503AF0" w:rsidP="00F0731B">
      <w:pPr>
        <w:spacing w:after="0" w:line="240" w:lineRule="auto"/>
      </w:pPr>
      <w:r>
        <w:separator/>
      </w:r>
    </w:p>
  </w:endnote>
  <w:endnote w:type="continuationSeparator" w:id="1">
    <w:p w:rsidR="00503AF0" w:rsidRDefault="00503AF0"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74734" w:rsidRDefault="005F747E">
        <w:pPr>
          <w:pStyle w:val="Pidipagina"/>
          <w:jc w:val="center"/>
        </w:pPr>
        <w:fldSimple w:instr=" PAGE   \* MERGEFORMAT ">
          <w:r w:rsidR="00150853">
            <w:rPr>
              <w:noProof/>
            </w:rPr>
            <w:t>2</w:t>
          </w:r>
        </w:fldSimple>
      </w:p>
    </w:sdtContent>
  </w:sdt>
  <w:p w:rsidR="00F0731B" w:rsidRDefault="00F0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AF0" w:rsidRDefault="00503AF0" w:rsidP="00F0731B">
      <w:pPr>
        <w:spacing w:after="0" w:line="240" w:lineRule="auto"/>
      </w:pPr>
      <w:r>
        <w:separator/>
      </w:r>
    </w:p>
  </w:footnote>
  <w:footnote w:type="continuationSeparator" w:id="1">
    <w:p w:rsidR="00503AF0" w:rsidRDefault="00503AF0"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5D40"/>
    <w:rsid w:val="00150853"/>
    <w:rsid w:val="00173CE6"/>
    <w:rsid w:val="0017546D"/>
    <w:rsid w:val="001806AD"/>
    <w:rsid w:val="0019259E"/>
    <w:rsid w:val="00241EF4"/>
    <w:rsid w:val="00253B79"/>
    <w:rsid w:val="00260E27"/>
    <w:rsid w:val="002A799F"/>
    <w:rsid w:val="002B4C63"/>
    <w:rsid w:val="00312FFA"/>
    <w:rsid w:val="00330901"/>
    <w:rsid w:val="00373823"/>
    <w:rsid w:val="00395A27"/>
    <w:rsid w:val="003B0B7A"/>
    <w:rsid w:val="003C7DE5"/>
    <w:rsid w:val="004D4C3E"/>
    <w:rsid w:val="004D7F8B"/>
    <w:rsid w:val="00503AF0"/>
    <w:rsid w:val="005544BF"/>
    <w:rsid w:val="00571895"/>
    <w:rsid w:val="005D5621"/>
    <w:rsid w:val="005D58FA"/>
    <w:rsid w:val="005E3357"/>
    <w:rsid w:val="005F747E"/>
    <w:rsid w:val="00631909"/>
    <w:rsid w:val="00670B98"/>
    <w:rsid w:val="006C7529"/>
    <w:rsid w:val="006E6FA1"/>
    <w:rsid w:val="007342E3"/>
    <w:rsid w:val="007A44AD"/>
    <w:rsid w:val="007D5AA6"/>
    <w:rsid w:val="007E7997"/>
    <w:rsid w:val="00832F6A"/>
    <w:rsid w:val="00841826"/>
    <w:rsid w:val="00867E83"/>
    <w:rsid w:val="00894450"/>
    <w:rsid w:val="00897C4E"/>
    <w:rsid w:val="008E4FE1"/>
    <w:rsid w:val="00977E67"/>
    <w:rsid w:val="00981F5A"/>
    <w:rsid w:val="009C64D6"/>
    <w:rsid w:val="00AA304A"/>
    <w:rsid w:val="00AC609C"/>
    <w:rsid w:val="00B43718"/>
    <w:rsid w:val="00C165F1"/>
    <w:rsid w:val="00C57364"/>
    <w:rsid w:val="00C62493"/>
    <w:rsid w:val="00C74734"/>
    <w:rsid w:val="00D62E9F"/>
    <w:rsid w:val="00D86830"/>
    <w:rsid w:val="00DB04CD"/>
    <w:rsid w:val="00E002E0"/>
    <w:rsid w:val="00E40853"/>
    <w:rsid w:val="00E536DE"/>
    <w:rsid w:val="00E83653"/>
    <w:rsid w:val="00E94710"/>
    <w:rsid w:val="00EA4604"/>
    <w:rsid w:val="00EB0EE2"/>
    <w:rsid w:val="00EE5380"/>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330901"/>
    <w:pPr>
      <w:spacing w:after="100"/>
    </w:pPr>
  </w:style>
</w:styles>
</file>

<file path=word/webSettings.xml><?xml version="1.0" encoding="utf-8"?>
<w:webSettings xmlns:r="http://schemas.openxmlformats.org/officeDocument/2006/relationships" xmlns:w="http://schemas.openxmlformats.org/wordprocessingml/2006/main">
  <w:divs>
    <w:div w:id="24985546">
      <w:bodyDiv w:val="1"/>
      <w:marLeft w:val="0"/>
      <w:marRight w:val="0"/>
      <w:marTop w:val="0"/>
      <w:marBottom w:val="0"/>
      <w:divBdr>
        <w:top w:val="none" w:sz="0" w:space="0" w:color="auto"/>
        <w:left w:val="none" w:sz="0" w:space="0" w:color="auto"/>
        <w:bottom w:val="none" w:sz="0" w:space="0" w:color="auto"/>
        <w:right w:val="none" w:sz="0" w:space="0" w:color="auto"/>
      </w:divBdr>
    </w:div>
    <w:div w:id="19315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ESCP_MBGC_Plan.htm" TargetMode="External"/><Relationship Id="rId39" Type="http://schemas.openxmlformats.org/officeDocument/2006/relationships/hyperlink" Target="https://sdgs.un.org/goals" TargetMode="External"/><Relationship Id="rId21" Type="http://schemas.openxmlformats.org/officeDocument/2006/relationships/hyperlink" Target="http://www.expotv1.com/ESCP_NUT_Team.pdf" TargetMode="External"/><Relationship Id="rId34" Type="http://schemas.openxmlformats.org/officeDocument/2006/relationships/hyperlink" Target="https://patentscope.wipo.int/search/en/detail.jsf?docId=WO2016092582"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3" TargetMode="External"/><Relationship Id="rId50" Type="http://schemas.openxmlformats.org/officeDocument/2006/relationships/hyperlink" Target="https://sdgs.un.org/goals/goal6" TargetMode="External"/><Relationship Id="rId55" Type="http://schemas.openxmlformats.org/officeDocument/2006/relationships/hyperlink" Target="https://sdgs.un.org/goals/goal11" TargetMode="External"/><Relationship Id="rId63" Type="http://schemas.openxmlformats.org/officeDocument/2006/relationships/hyperlink" Target="http://www.expotv1.com/ESCP_Hello.htm" TargetMode="External"/><Relationship Id="rId68" Type="http://schemas.openxmlformats.org/officeDocument/2006/relationships/theme" Target="theme/theme1.xml"/><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9" Type="http://schemas.openxmlformats.org/officeDocument/2006/relationships/hyperlink" Target="http://www.expotv1.com/LIC/UIBM_MBG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092582" TargetMode="External"/><Relationship Id="rId32" Type="http://schemas.openxmlformats.org/officeDocument/2006/relationships/hyperlink" Target="http://www.expotv1.com/PUB/JWT_Service_EN.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1" TargetMode="External"/><Relationship Id="rId53" Type="http://schemas.openxmlformats.org/officeDocument/2006/relationships/hyperlink" Target="https://sdgs.un.org/goals/goal9" TargetMode="External"/><Relationship Id="rId58" Type="http://schemas.openxmlformats.org/officeDocument/2006/relationships/hyperlink" Target="https://sdgs.un.org/goals/goal14"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MBGC.pdf" TargetMode="External"/><Relationship Id="rId28" Type="http://schemas.openxmlformats.org/officeDocument/2006/relationships/hyperlink" Target="http://www.expotv1.com/LIC/MISE_0001427413_MB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5" TargetMode="External"/><Relationship Id="rId57" Type="http://schemas.openxmlformats.org/officeDocument/2006/relationships/hyperlink" Target="https://sdgs.un.org/goals/goal13" TargetMode="External"/><Relationship Id="rId61" Type="http://schemas.openxmlformats.org/officeDocument/2006/relationships/hyperlink" Target="https://sdgs.un.org/goals/goal17"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ESCP_Patent.htm"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8" TargetMode="External"/><Relationship Id="rId60" Type="http://schemas.openxmlformats.org/officeDocument/2006/relationships/hyperlink" Target="https://sdgs.un.org/goals/goal16" TargetMode="External"/><Relationship Id="rId6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ESCP_Hello.htm" TargetMode="External"/><Relationship Id="rId30" Type="http://schemas.openxmlformats.org/officeDocument/2006/relationships/hyperlink" Target="https://patentscope.wipo.int/search/en/detail.jsf?docId=WO2016092582"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4" TargetMode="External"/><Relationship Id="rId56" Type="http://schemas.openxmlformats.org/officeDocument/2006/relationships/hyperlink" Target="https://sdgs.un.org/goals/goal12" TargetMode="External"/><Relationship Id="rId64" Type="http://schemas.openxmlformats.org/officeDocument/2006/relationships/image" Target="media/image1.png"/><Relationship Id="rId8" Type="http://schemas.openxmlformats.org/officeDocument/2006/relationships/hyperlink" Target="http://www.expotv1.com/JWT_project.pdf" TargetMode="External"/><Relationship Id="rId51" Type="http://schemas.openxmlformats.org/officeDocument/2006/relationships/hyperlink" Target="https://sdgs.un.org/goals/goal7"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organic+waste+to+biogas%2c+for+urban+and+periurban%29&amp;FORM=HDRSC2" TargetMode="External"/><Relationship Id="rId33" Type="http://schemas.openxmlformats.org/officeDocument/2006/relationships/hyperlink" Target="http://www.expotv1.com/LIC/UIBM_MBGC.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2" TargetMode="External"/><Relationship Id="rId59" Type="http://schemas.openxmlformats.org/officeDocument/2006/relationships/hyperlink" Target="https://sdgs.un.org/goals/goal15" TargetMode="External"/><Relationship Id="rId67" Type="http://schemas.openxmlformats.org/officeDocument/2006/relationships/fontTable" Target="fontTable.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0" TargetMode="External"/><Relationship Id="rId62" Type="http://schemas.openxmlformats.org/officeDocument/2006/relationships/hyperlink" Target="http://www.expotv1.com/JWT_to_SDG_U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22</Pages>
  <Words>2931</Words>
  <Characters>16707</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2023-10-29T19:26:00Z</dcterms:modified>
</cp:coreProperties>
</file>